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56CC" w14:textId="383D6805" w:rsidR="00EA7DA4" w:rsidRPr="00EA7DA4" w:rsidRDefault="00485FBC" w:rsidP="00EA7DA4">
      <w:pPr>
        <w:pStyle w:val="Ttulo1"/>
        <w:jc w:val="center"/>
        <w:rPr>
          <w:rFonts w:ascii="Montserrat" w:hAnsi="Montserrat"/>
          <w:b/>
          <w:bCs/>
          <w:sz w:val="48"/>
          <w:szCs w:val="48"/>
        </w:rPr>
      </w:pPr>
      <w:r>
        <w:rPr>
          <w:rFonts w:ascii="Montserrat" w:hAnsi="Montserrat"/>
          <w:b/>
          <w:bCs/>
          <w:sz w:val="48"/>
          <w:szCs w:val="48"/>
        </w:rPr>
        <w:t>Asociación Española de la Industria de los Semiconductores</w:t>
      </w:r>
    </w:p>
    <w:p w14:paraId="78873E83" w14:textId="5AF2D4EF" w:rsidR="00EA7DA4" w:rsidRDefault="00485FBC" w:rsidP="00EA7DA4">
      <w:pPr>
        <w:pStyle w:val="Ttulo1"/>
        <w:jc w:val="center"/>
        <w:rPr>
          <w:rFonts w:ascii="Montserrat" w:hAnsi="Montserrat"/>
          <w:b/>
          <w:bCs/>
        </w:rPr>
      </w:pPr>
      <w:r>
        <w:rPr>
          <w:rFonts w:ascii="Montserrat" w:hAnsi="Montserrat"/>
          <w:b/>
          <w:bCs/>
        </w:rPr>
        <w:t>Compromiso e historia</w:t>
      </w:r>
    </w:p>
    <w:p w14:paraId="3ACE6126" w14:textId="1A71C43A" w:rsidR="00542836" w:rsidRDefault="00542836" w:rsidP="00542836"/>
    <w:p w14:paraId="4FC6275D" w14:textId="77777777" w:rsidR="00044094" w:rsidRPr="00044094" w:rsidRDefault="00044094" w:rsidP="00044094">
      <w:pPr>
        <w:pStyle w:val="Ttulo1"/>
        <w:rPr>
          <w:rFonts w:ascii="Montserrat" w:hAnsi="Montserrat"/>
          <w:b/>
          <w:bCs/>
          <w:sz w:val="28"/>
          <w:szCs w:val="28"/>
        </w:rPr>
      </w:pPr>
      <w:bookmarkStart w:id="0" w:name="_Toc99472530"/>
      <w:r w:rsidRPr="00044094">
        <w:rPr>
          <w:rFonts w:ascii="Montserrat" w:hAnsi="Montserrat"/>
          <w:b/>
          <w:bCs/>
          <w:sz w:val="28"/>
          <w:szCs w:val="28"/>
        </w:rPr>
        <w:t>Introducción y contexto.</w:t>
      </w:r>
    </w:p>
    <w:p w14:paraId="7FE0F645" w14:textId="77777777" w:rsidR="00044094" w:rsidRPr="00044094" w:rsidRDefault="00044094" w:rsidP="00044094">
      <w:pPr>
        <w:spacing w:before="120" w:after="120" w:line="300" w:lineRule="auto"/>
        <w:jc w:val="both"/>
        <w:rPr>
          <w:rFonts w:ascii="Open Sans" w:hAnsi="Open Sans" w:cs="Open Sans"/>
          <w:sz w:val="20"/>
          <w:szCs w:val="20"/>
        </w:rPr>
      </w:pPr>
      <w:bookmarkStart w:id="1" w:name="_Hlk99473061"/>
      <w:bookmarkEnd w:id="0"/>
      <w:r w:rsidRPr="00044094">
        <w:rPr>
          <w:rFonts w:ascii="Open Sans" w:hAnsi="Open Sans" w:cs="Open Sans"/>
          <w:b/>
          <w:sz w:val="20"/>
          <w:szCs w:val="20"/>
        </w:rPr>
        <w:t>AESEMI es la Asociación Española de la Industria de Semiconductores</w:t>
      </w:r>
      <w:bookmarkEnd w:id="1"/>
      <w:r w:rsidRPr="00044094">
        <w:rPr>
          <w:rFonts w:ascii="Open Sans" w:hAnsi="Open Sans" w:cs="Open Sans"/>
          <w:sz w:val="20"/>
          <w:szCs w:val="20"/>
        </w:rPr>
        <w:t>, entidad que representa a las principales empresas españolas dedicadas al diseño microelectrónico y a la manufactura de semiconductores. La Asociación se fundó a finales del pasado año 2021 por las compañías Wiyo (Yocto Technologies), Imasenic, Kdpof e ICMálaga. Su creación estuvo motivada por la gran necesidad de proporcionar al sector una entidad propia que canalizase el sentir de la industria en un contexto tan dinámico como en el que vivimos, en el que los semiconductores se han convertido en un bien estratégico del que dependen industrias fundamentales para la Unión Europea.</w:t>
      </w:r>
    </w:p>
    <w:p w14:paraId="7454B86A" w14:textId="77777777" w:rsidR="00044094" w:rsidRPr="00044094" w:rsidRDefault="00044094" w:rsidP="00044094">
      <w:pPr>
        <w:spacing w:before="120" w:after="120" w:line="300" w:lineRule="auto"/>
        <w:jc w:val="both"/>
        <w:rPr>
          <w:rFonts w:ascii="Open Sans" w:hAnsi="Open Sans" w:cs="Open Sans"/>
          <w:sz w:val="20"/>
          <w:szCs w:val="20"/>
        </w:rPr>
      </w:pPr>
      <w:r w:rsidRPr="00044094">
        <w:rPr>
          <w:rFonts w:ascii="Open Sans" w:hAnsi="Open Sans" w:cs="Open Sans"/>
          <w:sz w:val="20"/>
          <w:szCs w:val="20"/>
        </w:rPr>
        <w:t xml:space="preserve">El objetivo de nuestra asociación es dar visibilidad a todas las empresas que forman parte del ecosistema tecnológico de los semiconductores en España. Gracias a esta plataforma, </w:t>
      </w:r>
      <w:r w:rsidRPr="00044094">
        <w:rPr>
          <w:rFonts w:ascii="Open Sans" w:hAnsi="Open Sans" w:cs="Open Sans"/>
          <w:b/>
          <w:sz w:val="20"/>
          <w:szCs w:val="20"/>
        </w:rPr>
        <w:t>se impulsa no solo el crecimiento de esta industria, sino que se abre una ventana de colaboración para que las grandes empresas encuentren incentivos para invertir en nuestro país al efecto de cumplir los compromisos de descarbonización y digitalización</w:t>
      </w:r>
      <w:r w:rsidRPr="00044094">
        <w:rPr>
          <w:rFonts w:ascii="Open Sans" w:hAnsi="Open Sans" w:cs="Open Sans"/>
          <w:sz w:val="20"/>
          <w:szCs w:val="20"/>
        </w:rPr>
        <w:t xml:space="preserve"> suscritos en la Unión Europea, que son un factor común para todas las industrias, ya a nivel mundial. También es parte fundamental de nuestros objetivos distinguir la capacidad de las universidades y profesionales, así como posicionar a España como un centro tecnológico con opciones y capacidades disruptivas.</w:t>
      </w:r>
    </w:p>
    <w:p w14:paraId="7133A461" w14:textId="77777777" w:rsidR="00044094" w:rsidRDefault="00044094" w:rsidP="00044094">
      <w:pPr>
        <w:spacing w:before="120" w:after="120" w:line="300" w:lineRule="auto"/>
        <w:jc w:val="both"/>
        <w:rPr>
          <w:sz w:val="20"/>
          <w:szCs w:val="20"/>
        </w:rPr>
      </w:pPr>
    </w:p>
    <w:p w14:paraId="65361067" w14:textId="77777777" w:rsidR="00044094" w:rsidRPr="00044094" w:rsidRDefault="00044094" w:rsidP="00044094">
      <w:pPr>
        <w:pStyle w:val="Ttulo1"/>
        <w:rPr>
          <w:rFonts w:ascii="Montserrat" w:hAnsi="Montserrat"/>
          <w:b/>
          <w:bCs/>
          <w:sz w:val="28"/>
          <w:szCs w:val="28"/>
        </w:rPr>
      </w:pPr>
      <w:bookmarkStart w:id="2" w:name="_Toc99472531"/>
      <w:r w:rsidRPr="00044094">
        <w:rPr>
          <w:rFonts w:ascii="Montserrat" w:hAnsi="Montserrat"/>
          <w:b/>
          <w:bCs/>
          <w:sz w:val="28"/>
          <w:szCs w:val="28"/>
        </w:rPr>
        <w:t>El compromiso de la industria de los semiconductores como punto de partida para los vectores de desarrollo.</w:t>
      </w:r>
      <w:bookmarkEnd w:id="2"/>
    </w:p>
    <w:p w14:paraId="6620204C" w14:textId="77777777" w:rsidR="00044094" w:rsidRPr="00044094" w:rsidRDefault="00044094" w:rsidP="00044094">
      <w:pPr>
        <w:spacing w:before="120" w:after="120" w:line="300" w:lineRule="auto"/>
        <w:jc w:val="both"/>
        <w:rPr>
          <w:rFonts w:ascii="Open Sans" w:hAnsi="Open Sans" w:cs="Open Sans"/>
          <w:sz w:val="20"/>
          <w:szCs w:val="20"/>
        </w:rPr>
      </w:pPr>
      <w:r w:rsidRPr="00044094">
        <w:rPr>
          <w:rFonts w:ascii="Open Sans" w:hAnsi="Open Sans" w:cs="Open Sans"/>
          <w:sz w:val="20"/>
          <w:szCs w:val="20"/>
        </w:rPr>
        <w:t>En la Asociación Española de la Industria de Semiconductores somos conscientes del papel esencial que desempeña la microelectrónica en el siglo XXI, necesaria para soportar los avances tecnológicos y la ingente demanda de dispositivos cada vez más rápidos, conectados y potentes, pero a su vez de un tamaño más reducido y más eficientes y sostenibles.</w:t>
      </w:r>
    </w:p>
    <w:p w14:paraId="7983FE7D" w14:textId="77777777" w:rsidR="00044094" w:rsidRPr="00044094" w:rsidRDefault="00044094" w:rsidP="00044094">
      <w:pPr>
        <w:spacing w:before="120" w:after="120" w:line="300" w:lineRule="auto"/>
        <w:jc w:val="both"/>
        <w:rPr>
          <w:rFonts w:ascii="Open Sans" w:hAnsi="Open Sans" w:cs="Open Sans"/>
          <w:sz w:val="20"/>
          <w:szCs w:val="20"/>
        </w:rPr>
      </w:pPr>
      <w:r w:rsidRPr="00044094">
        <w:rPr>
          <w:rFonts w:ascii="Open Sans" w:hAnsi="Open Sans" w:cs="Open Sans"/>
          <w:sz w:val="20"/>
          <w:szCs w:val="20"/>
        </w:rPr>
        <w:t xml:space="preserve">Los semiconductores son, sin lugar a duda, un elemento primordial para que la industria desarrolle los </w:t>
      </w:r>
      <w:r w:rsidRPr="00044094">
        <w:rPr>
          <w:rFonts w:ascii="Open Sans" w:hAnsi="Open Sans" w:cs="Open Sans"/>
          <w:b/>
          <w:sz w:val="20"/>
          <w:szCs w:val="20"/>
        </w:rPr>
        <w:t>nuevos productos y servicios como son la movilidad conectada e inteligente, o implementar las capacidades 4.0 en el tejido productivo</w:t>
      </w:r>
      <w:r w:rsidRPr="00044094">
        <w:rPr>
          <w:rFonts w:ascii="Open Sans" w:hAnsi="Open Sans" w:cs="Open Sans"/>
          <w:sz w:val="20"/>
          <w:szCs w:val="20"/>
        </w:rPr>
        <w:t xml:space="preserve">, </w:t>
      </w:r>
      <w:r w:rsidRPr="00044094">
        <w:rPr>
          <w:rFonts w:ascii="Open Sans" w:hAnsi="Open Sans" w:cs="Open Sans"/>
          <w:b/>
          <w:sz w:val="20"/>
          <w:szCs w:val="20"/>
        </w:rPr>
        <w:t>ya no sólo en España sino en toda Europa</w:t>
      </w:r>
      <w:r w:rsidRPr="00044094">
        <w:rPr>
          <w:rFonts w:ascii="Open Sans" w:hAnsi="Open Sans" w:cs="Open Sans"/>
          <w:sz w:val="20"/>
          <w:szCs w:val="20"/>
        </w:rPr>
        <w:t xml:space="preserve">. Sin chips, el sector digital no podría existir. A pesar de esta </w:t>
      </w:r>
      <w:r w:rsidRPr="00044094">
        <w:rPr>
          <w:rFonts w:ascii="Open Sans" w:hAnsi="Open Sans" w:cs="Open Sans"/>
          <w:sz w:val="20"/>
          <w:szCs w:val="20"/>
        </w:rPr>
        <w:lastRenderedPageBreak/>
        <w:t>necesidad, la realidad en la Unión Europea ha resultado en un choque permanente con el desabastecimiento dado que, hasta ahora, el foco de la producción masiva de estos componentes se ha situado en Asia y América. En este sentido, muchos sectores europeos, como la automoción, la energía, la comunicación y la salud, así como sectores estratégicos, como la defensa, la seguridad y el espacio se han visto amenazados por tales perturbaciones en el suministro.</w:t>
      </w:r>
    </w:p>
    <w:p w14:paraId="57C6FD6A" w14:textId="77777777" w:rsidR="00044094" w:rsidRPr="00044094" w:rsidRDefault="00044094" w:rsidP="00044094">
      <w:pPr>
        <w:spacing w:before="120" w:after="120" w:line="300" w:lineRule="auto"/>
        <w:jc w:val="both"/>
        <w:rPr>
          <w:rFonts w:ascii="Open Sans" w:hAnsi="Open Sans" w:cs="Open Sans"/>
          <w:sz w:val="20"/>
          <w:szCs w:val="20"/>
        </w:rPr>
      </w:pPr>
      <w:r w:rsidRPr="00044094">
        <w:rPr>
          <w:rFonts w:ascii="Open Sans" w:hAnsi="Open Sans" w:cs="Open Sans"/>
          <w:sz w:val="20"/>
          <w:szCs w:val="20"/>
        </w:rPr>
        <w:t xml:space="preserve">En AESEMI somos conscientes de esta situación y por ello </w:t>
      </w:r>
      <w:r w:rsidRPr="00044094">
        <w:rPr>
          <w:rFonts w:ascii="Open Sans" w:hAnsi="Open Sans" w:cs="Open Sans"/>
          <w:b/>
          <w:sz w:val="20"/>
          <w:szCs w:val="20"/>
        </w:rPr>
        <w:t>trabajamos para potenciar la industria de los semiconductores en la Unión Europea y especialmente en España, ya que de otra manera será imposible alcanzar el objetivo conjunto de autonomía estratégica para Europa</w:t>
      </w:r>
      <w:r w:rsidRPr="00044094">
        <w:rPr>
          <w:rFonts w:ascii="Open Sans" w:hAnsi="Open Sans" w:cs="Open Sans"/>
          <w:sz w:val="20"/>
          <w:szCs w:val="20"/>
        </w:rPr>
        <w:t>.</w:t>
      </w:r>
    </w:p>
    <w:p w14:paraId="07F4BD07" w14:textId="77777777" w:rsidR="00044094" w:rsidRDefault="00044094" w:rsidP="00044094">
      <w:pPr>
        <w:spacing w:before="120" w:after="120" w:line="300" w:lineRule="auto"/>
        <w:jc w:val="both"/>
        <w:rPr>
          <w:sz w:val="20"/>
          <w:szCs w:val="20"/>
        </w:rPr>
      </w:pPr>
    </w:p>
    <w:p w14:paraId="53047023" w14:textId="77777777" w:rsidR="00044094" w:rsidRDefault="00044094" w:rsidP="00044094">
      <w:pPr>
        <w:spacing w:before="120" w:after="120" w:line="300" w:lineRule="auto"/>
        <w:jc w:val="both"/>
        <w:rPr>
          <w:sz w:val="20"/>
          <w:szCs w:val="20"/>
        </w:rPr>
      </w:pPr>
    </w:p>
    <w:p w14:paraId="6C4ECA33" w14:textId="77777777" w:rsidR="00044094" w:rsidRPr="00044094" w:rsidRDefault="00044094" w:rsidP="00044094">
      <w:pPr>
        <w:pStyle w:val="Ttulo1"/>
        <w:rPr>
          <w:rFonts w:ascii="Montserrat" w:hAnsi="Montserrat"/>
          <w:b/>
          <w:bCs/>
          <w:sz w:val="28"/>
          <w:szCs w:val="28"/>
        </w:rPr>
      </w:pPr>
      <w:r w:rsidRPr="00044094">
        <w:rPr>
          <w:rFonts w:ascii="Montserrat" w:hAnsi="Montserrat"/>
          <w:b/>
          <w:bCs/>
          <w:sz w:val="28"/>
          <w:szCs w:val="28"/>
        </w:rPr>
        <w:t>La Ley Europea de Chips: el comienzo de un nuevo horizonte para el sector.</w:t>
      </w:r>
    </w:p>
    <w:p w14:paraId="25AFFE6A" w14:textId="77777777" w:rsidR="00044094" w:rsidRPr="00044094" w:rsidRDefault="00044094" w:rsidP="00044094">
      <w:pPr>
        <w:spacing w:before="120" w:after="120" w:line="300" w:lineRule="auto"/>
        <w:jc w:val="both"/>
        <w:rPr>
          <w:rFonts w:ascii="Open Sans" w:hAnsi="Open Sans" w:cs="Open Sans"/>
          <w:sz w:val="20"/>
          <w:szCs w:val="20"/>
        </w:rPr>
      </w:pPr>
      <w:r w:rsidRPr="00044094">
        <w:rPr>
          <w:rFonts w:ascii="Open Sans" w:hAnsi="Open Sans" w:cs="Open Sans"/>
          <w:sz w:val="20"/>
          <w:szCs w:val="20"/>
        </w:rPr>
        <w:t>La Comisión Europea, consciente del enorme reto al que se enfrenta la Unión en materia de capacidades tecnológicas, ha manifestado claramente su apuesta por la industria de los semiconductores mediante su propuesta de regulación del sector en la “</w:t>
      </w:r>
      <w:r w:rsidRPr="00044094">
        <w:rPr>
          <w:rFonts w:ascii="Open Sans" w:hAnsi="Open Sans" w:cs="Open Sans"/>
          <w:i/>
          <w:sz w:val="20"/>
          <w:szCs w:val="20"/>
        </w:rPr>
        <w:t>European Chips Act”</w:t>
      </w:r>
      <w:r w:rsidRPr="00044094">
        <w:rPr>
          <w:rFonts w:ascii="Open Sans" w:hAnsi="Open Sans" w:cs="Open Sans"/>
          <w:sz w:val="20"/>
          <w:szCs w:val="20"/>
        </w:rPr>
        <w:t xml:space="preserve">, en la que pretende fortalecer las capacidades del ecosistema de innovación, desarrollo y manufactura de estos componentes para garantizar el abastecimiento necesario a la industria europea mediante importantes estímulos financieros y un marco regulatorio sólido, con un especial foco en garantizar las seguridad en la cadena de producción. De acuerdo con los últimos informes de la propia Comisión, se afirma que la Unión tiene los activos necesarios para convertirse en un líder industrial en el mercado de semiconductores del futuro. </w:t>
      </w:r>
    </w:p>
    <w:p w14:paraId="6BBFF3F5" w14:textId="77777777" w:rsidR="00044094" w:rsidRPr="00044094" w:rsidRDefault="00044094" w:rsidP="00044094">
      <w:pPr>
        <w:spacing w:before="120" w:after="120" w:line="300" w:lineRule="auto"/>
        <w:jc w:val="both"/>
        <w:rPr>
          <w:rFonts w:ascii="Open Sans" w:hAnsi="Open Sans" w:cs="Open Sans"/>
          <w:b/>
          <w:sz w:val="20"/>
          <w:szCs w:val="20"/>
        </w:rPr>
      </w:pPr>
      <w:r w:rsidRPr="00044094">
        <w:rPr>
          <w:rFonts w:ascii="Open Sans" w:hAnsi="Open Sans" w:cs="Open Sans"/>
          <w:sz w:val="20"/>
          <w:szCs w:val="20"/>
        </w:rPr>
        <w:t xml:space="preserve">Desde la Asociación, somos más que conscientes de la </w:t>
      </w:r>
      <w:r w:rsidRPr="00044094">
        <w:rPr>
          <w:rFonts w:ascii="Open Sans" w:hAnsi="Open Sans" w:cs="Open Sans"/>
          <w:b/>
          <w:sz w:val="20"/>
          <w:szCs w:val="20"/>
        </w:rPr>
        <w:t>ventana de acción única que se abre para Europa y, en particular, para todos los agentes del sector al poder participar en el proceso de ideación y desarrollo del marco normativo de la industria</w:t>
      </w:r>
      <w:r w:rsidRPr="00044094">
        <w:rPr>
          <w:rFonts w:ascii="Open Sans" w:hAnsi="Open Sans" w:cs="Open Sans"/>
          <w:sz w:val="20"/>
          <w:szCs w:val="20"/>
        </w:rPr>
        <w:t xml:space="preserve">. Por ello </w:t>
      </w:r>
      <w:r w:rsidRPr="00044094">
        <w:rPr>
          <w:rFonts w:ascii="Open Sans" w:hAnsi="Open Sans" w:cs="Open Sans"/>
          <w:b/>
          <w:sz w:val="20"/>
          <w:szCs w:val="20"/>
        </w:rPr>
        <w:t>nos ponemos a disposición de instituciones y agentes públicos y privados para poder debatir las bases del futuro de nuestro sector</w:t>
      </w:r>
      <w:r w:rsidRPr="00044094">
        <w:rPr>
          <w:rFonts w:ascii="Open Sans" w:hAnsi="Open Sans" w:cs="Open Sans"/>
          <w:sz w:val="20"/>
          <w:szCs w:val="20"/>
        </w:rPr>
        <w:t xml:space="preserve">, y </w:t>
      </w:r>
      <w:r w:rsidRPr="00044094">
        <w:rPr>
          <w:rFonts w:ascii="Open Sans" w:hAnsi="Open Sans" w:cs="Open Sans"/>
          <w:b/>
          <w:sz w:val="20"/>
          <w:szCs w:val="20"/>
        </w:rPr>
        <w:t>formulamos las propuestas y consideraciones aquí recogidas.</w:t>
      </w:r>
    </w:p>
    <w:p w14:paraId="0049C0AA" w14:textId="26CC4E7A" w:rsidR="00485FBC" w:rsidRDefault="00485FBC">
      <w:pPr>
        <w:rPr>
          <w:rFonts w:ascii="Open Sans" w:hAnsi="Open Sans" w:cs="Open Sans"/>
        </w:rPr>
      </w:pPr>
      <w:r>
        <w:rPr>
          <w:rFonts w:ascii="Open Sans" w:hAnsi="Open Sans" w:cs="Open Sans"/>
        </w:rPr>
        <w:br w:type="page"/>
      </w:r>
    </w:p>
    <w:p w14:paraId="23134C5B" w14:textId="5A855A42" w:rsidR="005C6E88" w:rsidRPr="005C6E88" w:rsidRDefault="005C6E88" w:rsidP="005C6E88">
      <w:pPr>
        <w:pStyle w:val="Ttulo1"/>
        <w:jc w:val="center"/>
        <w:rPr>
          <w:rFonts w:ascii="Montserrat" w:hAnsi="Montserrat"/>
          <w:b/>
          <w:bCs/>
          <w:sz w:val="48"/>
          <w:szCs w:val="48"/>
          <w:lang w:val="en-US"/>
        </w:rPr>
      </w:pPr>
      <w:bookmarkStart w:id="3" w:name="_Toc105689026"/>
      <w:r w:rsidRPr="005C6E88">
        <w:rPr>
          <w:rFonts w:ascii="Montserrat" w:hAnsi="Montserrat"/>
          <w:b/>
          <w:bCs/>
          <w:sz w:val="48"/>
          <w:szCs w:val="48"/>
          <w:lang w:val="en-US"/>
        </w:rPr>
        <w:lastRenderedPageBreak/>
        <w:t>Spanish</w:t>
      </w:r>
      <w:r w:rsidRPr="005C6E88">
        <w:rPr>
          <w:rFonts w:ascii="Montserrat" w:hAnsi="Montserrat"/>
          <w:b/>
          <w:bCs/>
          <w:sz w:val="48"/>
          <w:szCs w:val="48"/>
          <w:lang w:val="en-US"/>
        </w:rPr>
        <w:t xml:space="preserve"> </w:t>
      </w:r>
      <w:r w:rsidRPr="005C6E88">
        <w:rPr>
          <w:rFonts w:ascii="Montserrat" w:hAnsi="Montserrat"/>
          <w:b/>
          <w:bCs/>
          <w:sz w:val="48"/>
          <w:szCs w:val="48"/>
          <w:lang w:val="en-US"/>
        </w:rPr>
        <w:t>Semiconductor Industry</w:t>
      </w:r>
    </w:p>
    <w:p w14:paraId="36D77648" w14:textId="6A8F2ABE" w:rsidR="005C6E88" w:rsidRPr="005C6E88" w:rsidRDefault="005C6E88" w:rsidP="00CD3DC6">
      <w:pPr>
        <w:pStyle w:val="Ttulo1"/>
        <w:jc w:val="center"/>
        <w:rPr>
          <w:rFonts w:ascii="Montserrat" w:hAnsi="Montserrat"/>
          <w:b/>
          <w:bCs/>
          <w:sz w:val="48"/>
          <w:szCs w:val="48"/>
          <w:lang w:val="en-US"/>
        </w:rPr>
      </w:pPr>
      <w:r w:rsidRPr="005C6E88">
        <w:rPr>
          <w:rFonts w:ascii="Montserrat" w:hAnsi="Montserrat"/>
          <w:b/>
          <w:bCs/>
          <w:sz w:val="48"/>
          <w:szCs w:val="48"/>
          <w:lang w:val="en-US"/>
        </w:rPr>
        <w:t xml:space="preserve"> Association</w:t>
      </w:r>
    </w:p>
    <w:p w14:paraId="72046E39" w14:textId="77777777" w:rsidR="005C6E88" w:rsidRDefault="005C6E88" w:rsidP="005B2918">
      <w:pPr>
        <w:pStyle w:val="Ttulo1"/>
        <w:jc w:val="center"/>
        <w:rPr>
          <w:rFonts w:ascii="Montserrat" w:hAnsi="Montserrat"/>
          <w:b/>
          <w:bCs/>
        </w:rPr>
      </w:pPr>
      <w:r w:rsidRPr="005C6E88">
        <w:rPr>
          <w:rFonts w:ascii="Montserrat" w:hAnsi="Montserrat"/>
          <w:b/>
          <w:bCs/>
        </w:rPr>
        <w:t>Commitment and history</w:t>
      </w:r>
    </w:p>
    <w:p w14:paraId="05D818E7" w14:textId="77777777" w:rsidR="00CD3DC6" w:rsidRPr="00CD3DC6" w:rsidRDefault="00CD3DC6" w:rsidP="00CD3DC6">
      <w:pPr>
        <w:rPr>
          <w:lang w:val="en-US"/>
        </w:rPr>
      </w:pPr>
    </w:p>
    <w:p w14:paraId="35C57A81" w14:textId="574F9A45" w:rsidR="00CD3DC6" w:rsidRPr="005C6E88" w:rsidRDefault="00CD3DC6" w:rsidP="005C6E88">
      <w:pPr>
        <w:pStyle w:val="Ttulo1"/>
        <w:rPr>
          <w:rFonts w:ascii="Montserrat" w:hAnsi="Montserrat"/>
          <w:b/>
          <w:bCs/>
          <w:sz w:val="28"/>
          <w:szCs w:val="28"/>
        </w:rPr>
      </w:pPr>
      <w:r w:rsidRPr="005C6E88">
        <w:rPr>
          <w:rFonts w:ascii="Montserrat" w:hAnsi="Montserrat"/>
          <w:b/>
          <w:bCs/>
          <w:sz w:val="28"/>
          <w:szCs w:val="28"/>
        </w:rPr>
        <w:t>Introduction and context.</w:t>
      </w:r>
      <w:bookmarkEnd w:id="3"/>
    </w:p>
    <w:p w14:paraId="73F988A4" w14:textId="77777777" w:rsidR="00CD3DC6" w:rsidRPr="00054ACF" w:rsidRDefault="00CD3DC6" w:rsidP="00CD3DC6">
      <w:pPr>
        <w:spacing w:before="120" w:after="120" w:line="300" w:lineRule="auto"/>
        <w:jc w:val="both"/>
        <w:rPr>
          <w:sz w:val="20"/>
          <w:szCs w:val="20"/>
          <w:lang w:val="en-US"/>
        </w:rPr>
      </w:pPr>
      <w:r w:rsidRPr="68E249AE">
        <w:rPr>
          <w:sz w:val="20"/>
          <w:szCs w:val="20"/>
          <w:lang w:val="en-US"/>
        </w:rPr>
        <w:t xml:space="preserve">AESEMI is the Spanish Semiconductor Industry Association, an entity that represents the main spanish companies dedicated to microelectronic design and semiconductor manufacturing. The Association was founded at the end of last year 2021 by the companies Wiyo (Yocto Technologies), Imasenic, Kdpof and ICMálaga. Its creation was motivated by the </w:t>
      </w:r>
      <w:r>
        <w:rPr>
          <w:sz w:val="20"/>
          <w:szCs w:val="20"/>
          <w:lang w:val="en-US"/>
        </w:rPr>
        <w:t>deep</w:t>
      </w:r>
      <w:r w:rsidRPr="68E249AE">
        <w:rPr>
          <w:sz w:val="20"/>
          <w:szCs w:val="20"/>
          <w:lang w:val="en-US"/>
        </w:rPr>
        <w:t xml:space="preserve"> need to provide the sector with its own entity to channel the feelings of the industry in such a dynamic context as the one we live in, in which semiconductors have become a strategic asset on which key industries for the European Union depend. </w:t>
      </w:r>
    </w:p>
    <w:p w14:paraId="46FBFD5B" w14:textId="77777777" w:rsidR="00CD3DC6" w:rsidRPr="00A552C1" w:rsidRDefault="00CD3DC6" w:rsidP="00CD3DC6">
      <w:pPr>
        <w:spacing w:before="120" w:after="120" w:line="300" w:lineRule="auto"/>
        <w:jc w:val="both"/>
        <w:rPr>
          <w:sz w:val="20"/>
          <w:szCs w:val="20"/>
          <w:lang w:val="en-US"/>
        </w:rPr>
      </w:pPr>
      <w:r w:rsidRPr="6F95EBB5">
        <w:rPr>
          <w:sz w:val="20"/>
          <w:szCs w:val="20"/>
          <w:lang w:val="en-US"/>
        </w:rPr>
        <w:t xml:space="preserve">The objective of our association is to </w:t>
      </w:r>
      <w:r>
        <w:rPr>
          <w:sz w:val="20"/>
          <w:szCs w:val="20"/>
          <w:lang w:val="en-US"/>
        </w:rPr>
        <w:t>provide</w:t>
      </w:r>
      <w:r w:rsidRPr="6F95EBB5">
        <w:rPr>
          <w:sz w:val="20"/>
          <w:szCs w:val="20"/>
          <w:lang w:val="en-US"/>
        </w:rPr>
        <w:t xml:space="preserve"> visibility to all the companies that are part of the semiconductor ecosystem in Spain. Thanks to this platform, </w:t>
      </w:r>
      <w:r w:rsidRPr="6F95EBB5">
        <w:rPr>
          <w:b/>
          <w:bCs/>
          <w:sz w:val="20"/>
          <w:szCs w:val="20"/>
          <w:lang w:val="en-US"/>
        </w:rPr>
        <w:t>we boost not only the growth of this industry, but also open a window of collaboration for large companies to find incentives to invest in our country to meet the commitments of decarbonization and digitization</w:t>
      </w:r>
      <w:r w:rsidRPr="6F95EBB5">
        <w:rPr>
          <w:sz w:val="20"/>
          <w:szCs w:val="20"/>
          <w:lang w:val="en-US"/>
        </w:rPr>
        <w:t xml:space="preserve"> signed in the European Union, which are a common factor for all industries, already at a global level. It is also a fundamental part of our objectives to distinguish the capacity of universities and professionals, as well as to position Spain as a technological center with disruptive options and capabilities.</w:t>
      </w:r>
    </w:p>
    <w:p w14:paraId="4C33569D" w14:textId="77777777" w:rsidR="00CD3DC6" w:rsidRPr="005C6E88" w:rsidRDefault="00CD3DC6" w:rsidP="005C6E88">
      <w:pPr>
        <w:pStyle w:val="Ttulo1"/>
        <w:rPr>
          <w:rFonts w:ascii="Montserrat" w:hAnsi="Montserrat"/>
          <w:b/>
          <w:bCs/>
          <w:sz w:val="28"/>
          <w:szCs w:val="28"/>
        </w:rPr>
      </w:pPr>
      <w:bookmarkStart w:id="4" w:name="_Toc105689027"/>
      <w:r w:rsidRPr="005C6E88">
        <w:rPr>
          <w:rFonts w:ascii="Montserrat" w:hAnsi="Montserrat"/>
          <w:b/>
          <w:bCs/>
          <w:sz w:val="28"/>
          <w:szCs w:val="28"/>
        </w:rPr>
        <w:t>The commitment of the semiconductor industry as a starting point for the development vectors.</w:t>
      </w:r>
      <w:bookmarkEnd w:id="4"/>
    </w:p>
    <w:p w14:paraId="688E949B" w14:textId="77777777" w:rsidR="00CD3DC6" w:rsidRDefault="00CD3DC6" w:rsidP="00CD3DC6">
      <w:pPr>
        <w:spacing w:before="120" w:after="120" w:line="300" w:lineRule="auto"/>
        <w:jc w:val="both"/>
        <w:rPr>
          <w:sz w:val="20"/>
          <w:szCs w:val="20"/>
          <w:lang w:val="en-US"/>
        </w:rPr>
      </w:pPr>
      <w:r w:rsidRPr="00E12013">
        <w:rPr>
          <w:sz w:val="20"/>
          <w:szCs w:val="20"/>
          <w:lang w:val="en-US"/>
        </w:rPr>
        <w:t>At the Spanish Semiconductor Industry Association, we are aware of the essential role played by microelectronics in the 21st century, necessary to support technological advances and the huge demand for ever faster, more connected and powerful devices, but at the same time smaller, more efficient and sustainable.</w:t>
      </w:r>
    </w:p>
    <w:p w14:paraId="40E7FAC4" w14:textId="77777777" w:rsidR="00CD3DC6" w:rsidRPr="00054ACF" w:rsidRDefault="00CD3DC6" w:rsidP="00CD3DC6">
      <w:pPr>
        <w:spacing w:before="120" w:after="120" w:line="300" w:lineRule="auto"/>
        <w:jc w:val="both"/>
        <w:rPr>
          <w:sz w:val="20"/>
          <w:szCs w:val="20"/>
          <w:lang w:val="en-US"/>
        </w:rPr>
      </w:pPr>
      <w:r w:rsidRPr="6F95EBB5">
        <w:rPr>
          <w:sz w:val="20"/>
          <w:szCs w:val="20"/>
          <w:lang w:val="en-US"/>
        </w:rPr>
        <w:t xml:space="preserve">Semiconductors are undoubtedly an essential element for the industry to develop new products and services such as connected and intelligent mobility, or </w:t>
      </w:r>
      <w:r>
        <w:rPr>
          <w:sz w:val="20"/>
          <w:szCs w:val="20"/>
          <w:lang w:val="en-US"/>
        </w:rPr>
        <w:t>for</w:t>
      </w:r>
      <w:r w:rsidRPr="6F95EBB5">
        <w:rPr>
          <w:sz w:val="20"/>
          <w:szCs w:val="20"/>
          <w:lang w:val="en-US"/>
        </w:rPr>
        <w:t xml:space="preserve"> implement</w:t>
      </w:r>
      <w:r>
        <w:rPr>
          <w:sz w:val="20"/>
          <w:szCs w:val="20"/>
          <w:lang w:val="en-US"/>
        </w:rPr>
        <w:t>ing</w:t>
      </w:r>
      <w:r w:rsidRPr="6F95EBB5">
        <w:rPr>
          <w:sz w:val="20"/>
          <w:szCs w:val="20"/>
          <w:lang w:val="en-US"/>
        </w:rPr>
        <w:t xml:space="preserve"> 4.0 capabilities in </w:t>
      </w:r>
      <w:r>
        <w:rPr>
          <w:sz w:val="20"/>
          <w:szCs w:val="20"/>
          <w:lang w:val="en-US"/>
        </w:rPr>
        <w:t>our industry</w:t>
      </w:r>
      <w:r w:rsidRPr="6F95EBB5">
        <w:rPr>
          <w:sz w:val="20"/>
          <w:szCs w:val="20"/>
          <w:lang w:val="en-US"/>
        </w:rPr>
        <w:t xml:space="preserve">, not only in Spain but throughout Europe. Without chips, the digital sector could not exist. Despite this need, the reality in the European Union has resulted in a permanent clash with the lack of supply since, until now, the focus of mass production of these components has been in Asia and America. In this sense, many European sectors, such as automotive, energy, communication and health, as well as strategic sectors, such as defense, security and space have been threatened by such supply disruptions. </w:t>
      </w:r>
    </w:p>
    <w:p w14:paraId="1E8BFFBB" w14:textId="77777777" w:rsidR="00CD3DC6" w:rsidRPr="00AE6B8D" w:rsidRDefault="00CD3DC6" w:rsidP="00CD3DC6">
      <w:pPr>
        <w:spacing w:before="120" w:after="120" w:line="300" w:lineRule="auto"/>
        <w:jc w:val="both"/>
        <w:rPr>
          <w:sz w:val="20"/>
          <w:szCs w:val="20"/>
          <w:lang w:val="en-US"/>
        </w:rPr>
      </w:pPr>
      <w:r w:rsidRPr="00AE6B8D">
        <w:rPr>
          <w:sz w:val="20"/>
          <w:szCs w:val="20"/>
          <w:lang w:val="en-US"/>
        </w:rPr>
        <w:t xml:space="preserve">In AESEMI we are aware of this situation and for this reason </w:t>
      </w:r>
      <w:r w:rsidRPr="00AE6B8D">
        <w:rPr>
          <w:b/>
          <w:bCs/>
          <w:sz w:val="20"/>
          <w:szCs w:val="20"/>
          <w:lang w:val="en-US"/>
        </w:rPr>
        <w:t>we are working to strengthen the semiconductor industry in the European Union and especially in Spain, since otherwise it will be impossible to achieve the joint objective of strategic autonomy for Europe</w:t>
      </w:r>
      <w:r w:rsidRPr="00AE6B8D">
        <w:rPr>
          <w:sz w:val="20"/>
          <w:szCs w:val="20"/>
          <w:lang w:val="en-US"/>
        </w:rPr>
        <w:t>.</w:t>
      </w:r>
    </w:p>
    <w:p w14:paraId="7BDE6A31" w14:textId="77777777" w:rsidR="00CD3DC6" w:rsidRPr="00AE6B8D" w:rsidRDefault="00CD3DC6" w:rsidP="00CD3DC6">
      <w:pPr>
        <w:spacing w:before="120" w:after="120" w:line="300" w:lineRule="auto"/>
        <w:jc w:val="both"/>
        <w:rPr>
          <w:sz w:val="20"/>
          <w:szCs w:val="20"/>
          <w:lang w:val="en-US"/>
        </w:rPr>
      </w:pPr>
    </w:p>
    <w:p w14:paraId="1E9CE206" w14:textId="77777777" w:rsidR="00CD3DC6" w:rsidRPr="005C6E88" w:rsidRDefault="00CD3DC6" w:rsidP="005C6E88">
      <w:pPr>
        <w:pStyle w:val="Ttulo1"/>
        <w:rPr>
          <w:rFonts w:ascii="Montserrat" w:hAnsi="Montserrat"/>
          <w:b/>
          <w:bCs/>
          <w:sz w:val="28"/>
          <w:szCs w:val="28"/>
        </w:rPr>
      </w:pPr>
      <w:bookmarkStart w:id="5" w:name="_Toc105689028"/>
      <w:r w:rsidRPr="005C6E88">
        <w:rPr>
          <w:rFonts w:ascii="Montserrat" w:hAnsi="Montserrat"/>
          <w:b/>
          <w:bCs/>
          <w:sz w:val="28"/>
          <w:szCs w:val="28"/>
        </w:rPr>
        <w:lastRenderedPageBreak/>
        <w:t>The European Chip Law: the beginning of a new horizon for the sector.</w:t>
      </w:r>
      <w:bookmarkEnd w:id="5"/>
    </w:p>
    <w:p w14:paraId="0397BC5A" w14:textId="77777777" w:rsidR="00CD3DC6" w:rsidRPr="00AE6B8D" w:rsidRDefault="00CD3DC6" w:rsidP="00CD3DC6">
      <w:pPr>
        <w:spacing w:before="120" w:after="120" w:line="300" w:lineRule="auto"/>
        <w:jc w:val="both"/>
        <w:rPr>
          <w:sz w:val="20"/>
          <w:szCs w:val="20"/>
          <w:lang w:val="en-US"/>
        </w:rPr>
      </w:pPr>
      <w:r w:rsidRPr="68E249AE">
        <w:rPr>
          <w:sz w:val="20"/>
          <w:szCs w:val="20"/>
          <w:lang w:val="en-US"/>
        </w:rPr>
        <w:t>The European Commission, aware of the enormous challenge facing the Union in terms of technological capabilities, has clearly stated its commitment to the semiconductor industry through its proposal to regulate the sector in the "European Chips Act", which aims to strengthen the capabilities of the innovation, development and manufacturing ecosystem of these components to guarantee the necessary supply to the European industry through significant financial incentives and a solid regulatory framework, with a special focus on guaranteeing safety in the production chain. According to the Commission's latest reports, it is stated that the Union has the necessary assets to become an industrial leader in the semiconductor market of the future.</w:t>
      </w:r>
      <w:bookmarkStart w:id="6" w:name="_nz44xzjpotwz"/>
      <w:bookmarkEnd w:id="6"/>
    </w:p>
    <w:p w14:paraId="6F2176B3" w14:textId="2B9CB873" w:rsidR="00CD3DC6" w:rsidRPr="00054ACF" w:rsidRDefault="00CD3DC6" w:rsidP="00CD3DC6">
      <w:pPr>
        <w:spacing w:before="120" w:after="120" w:line="300" w:lineRule="auto"/>
        <w:jc w:val="both"/>
        <w:rPr>
          <w:sz w:val="20"/>
          <w:szCs w:val="20"/>
          <w:lang w:val="en-US"/>
        </w:rPr>
      </w:pPr>
      <w:r w:rsidRPr="00AE6B8D">
        <w:rPr>
          <w:sz w:val="20"/>
          <w:szCs w:val="20"/>
          <w:lang w:val="en-US"/>
        </w:rPr>
        <w:t xml:space="preserve">From the Association, we are more than aware of the unique </w:t>
      </w:r>
      <w:r w:rsidRPr="00AE6B8D">
        <w:rPr>
          <w:b/>
          <w:bCs/>
          <w:sz w:val="20"/>
          <w:szCs w:val="20"/>
          <w:lang w:val="en-US"/>
        </w:rPr>
        <w:t>window of action that is opening for Europe and, in particular, for all the agents of the sector to be able to participate in the process of ideation and development of the regulatory framework of the industry. For this reason, we place ourselves at the disposal of institutions and public and private agents to be able to debate the bases for the future of our sector, and we formulate the proposals and considerations contained herein.</w:t>
      </w:r>
    </w:p>
    <w:p w14:paraId="06EB5CD0" w14:textId="77777777" w:rsidR="001B00A0" w:rsidRPr="00CD3DC6" w:rsidRDefault="001B00A0" w:rsidP="001B00A0">
      <w:pPr>
        <w:jc w:val="both"/>
        <w:rPr>
          <w:rFonts w:ascii="Open Sans" w:hAnsi="Open Sans" w:cs="Open Sans"/>
          <w:lang w:val="en-US"/>
        </w:rPr>
      </w:pPr>
    </w:p>
    <w:sectPr w:rsidR="001B00A0" w:rsidRPr="00CD3DC6" w:rsidSect="00343AE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96AD" w14:textId="77777777" w:rsidR="00B1663E" w:rsidRDefault="00B1663E" w:rsidP="00EA7DA4">
      <w:pPr>
        <w:spacing w:after="0" w:line="240" w:lineRule="auto"/>
      </w:pPr>
      <w:r>
        <w:separator/>
      </w:r>
    </w:p>
  </w:endnote>
  <w:endnote w:type="continuationSeparator" w:id="0">
    <w:p w14:paraId="1CE0D0EB" w14:textId="77777777" w:rsidR="00B1663E" w:rsidRDefault="00B1663E" w:rsidP="00EA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5409" w14:textId="77777777" w:rsidR="001323F6" w:rsidRDefault="001323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5365" w14:textId="77777777" w:rsidR="001323F6" w:rsidRDefault="001323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F346" w14:textId="77777777" w:rsidR="001323F6" w:rsidRDefault="00132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9D10" w14:textId="77777777" w:rsidR="00B1663E" w:rsidRDefault="00B1663E" w:rsidP="00EA7DA4">
      <w:pPr>
        <w:spacing w:after="0" w:line="240" w:lineRule="auto"/>
      </w:pPr>
      <w:r>
        <w:separator/>
      </w:r>
    </w:p>
  </w:footnote>
  <w:footnote w:type="continuationSeparator" w:id="0">
    <w:p w14:paraId="386AAE61" w14:textId="77777777" w:rsidR="00B1663E" w:rsidRDefault="00B1663E" w:rsidP="00EA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13F" w14:textId="77FDAD2A" w:rsidR="002B21E5" w:rsidRDefault="005C6E88">
    <w:pPr>
      <w:pStyle w:val="Encabezado"/>
    </w:pPr>
    <w:r>
      <w:rPr>
        <w:noProof/>
      </w:rPr>
      <w:pict w14:anchorId="59E90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40844" o:spid="_x0000_s1032" type="#_x0000_t75" style="position:absolute;margin-left:0;margin-top:0;width:595.5pt;height:842.25pt;z-index:-251657216;mso-position-horizontal:center;mso-position-horizontal-relative:margin;mso-position-vertical:center;mso-position-vertical-relative:margin" o:allowincell="f">
          <v:imagedata r:id="rId1" o:title="Diapositiva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1489" w14:textId="5C48E14E" w:rsidR="00EA7DA4" w:rsidRDefault="005C6E88">
    <w:pPr>
      <w:pStyle w:val="Encabezado"/>
    </w:pPr>
    <w:r>
      <w:rPr>
        <w:noProof/>
      </w:rPr>
      <w:pict w14:anchorId="72F8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40845" o:spid="_x0000_s1033" type="#_x0000_t75" style="position:absolute;margin-left:0;margin-top:0;width:595.5pt;height:842.25pt;z-index:-251656192;mso-position-horizontal:center;mso-position-horizontal-relative:margin;mso-position-vertical:center;mso-position-vertical-relative:margin" o:allowincell="f">
          <v:imagedata r:id="rId1" o:title="Diapositiva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F05A" w14:textId="09F069B3" w:rsidR="002B21E5" w:rsidRDefault="005C6E88">
    <w:pPr>
      <w:pStyle w:val="Encabezado"/>
    </w:pPr>
    <w:r>
      <w:rPr>
        <w:noProof/>
      </w:rPr>
      <w:pict w14:anchorId="6713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40843" o:spid="_x0000_s1031" type="#_x0000_t75" style="position:absolute;margin-left:0;margin-top:0;width:595.5pt;height:842.25pt;z-index:-251658240;mso-position-horizontal:center;mso-position-horizontal-relative:margin;mso-position-vertical:center;mso-position-vertical-relative:margin" o:allowincell="f">
          <v:imagedata r:id="rId1" o:title="Diapositiva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A15"/>
    <w:multiLevelType w:val="hybridMultilevel"/>
    <w:tmpl w:val="06B46AE6"/>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 w15:restartNumberingAfterBreak="0">
    <w:nsid w:val="505D528F"/>
    <w:multiLevelType w:val="hybridMultilevel"/>
    <w:tmpl w:val="D8E4571C"/>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num w:numId="1" w16cid:durableId="1478572799">
    <w:abstractNumId w:val="0"/>
  </w:num>
  <w:num w:numId="2" w16cid:durableId="83672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A4"/>
    <w:rsid w:val="000133B3"/>
    <w:rsid w:val="00044094"/>
    <w:rsid w:val="000639EC"/>
    <w:rsid w:val="001323F6"/>
    <w:rsid w:val="001B00A0"/>
    <w:rsid w:val="001C70E3"/>
    <w:rsid w:val="001F7C86"/>
    <w:rsid w:val="002B21E5"/>
    <w:rsid w:val="00343AE3"/>
    <w:rsid w:val="00485FBC"/>
    <w:rsid w:val="00542836"/>
    <w:rsid w:val="005C6E88"/>
    <w:rsid w:val="006367B2"/>
    <w:rsid w:val="007D21AC"/>
    <w:rsid w:val="009300CE"/>
    <w:rsid w:val="00A2050D"/>
    <w:rsid w:val="00B1663E"/>
    <w:rsid w:val="00B17E92"/>
    <w:rsid w:val="00B63610"/>
    <w:rsid w:val="00C131A9"/>
    <w:rsid w:val="00CD3DC6"/>
    <w:rsid w:val="00D367CB"/>
    <w:rsid w:val="00E45C6F"/>
    <w:rsid w:val="00EA7DA4"/>
    <w:rsid w:val="00EC61CF"/>
    <w:rsid w:val="00F638D2"/>
    <w:rsid w:val="00F95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55F1"/>
  <w15:chartTrackingRefBased/>
  <w15:docId w15:val="{6918BB63-F841-4771-BCB4-AFDE5F09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7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440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7D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DA4"/>
  </w:style>
  <w:style w:type="paragraph" w:styleId="Piedepgina">
    <w:name w:val="footer"/>
    <w:basedOn w:val="Normal"/>
    <w:link w:val="PiedepginaCar"/>
    <w:uiPriority w:val="99"/>
    <w:unhideWhenUsed/>
    <w:rsid w:val="00EA7D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7DA4"/>
  </w:style>
  <w:style w:type="character" w:customStyle="1" w:styleId="Ttulo1Car">
    <w:name w:val="Título 1 Car"/>
    <w:basedOn w:val="Fuentedeprrafopredeter"/>
    <w:link w:val="Ttulo1"/>
    <w:uiPriority w:val="9"/>
    <w:rsid w:val="00EA7DA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17E92"/>
    <w:pPr>
      <w:ind w:left="720"/>
      <w:contextualSpacing/>
    </w:pPr>
  </w:style>
  <w:style w:type="character" w:customStyle="1" w:styleId="Ttulo3Car">
    <w:name w:val="Título 3 Car"/>
    <w:basedOn w:val="Fuentedeprrafopredeter"/>
    <w:link w:val="Ttulo3"/>
    <w:uiPriority w:val="9"/>
    <w:semiHidden/>
    <w:rsid w:val="000440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B3DCB81F5B14458566B8505737F509" ma:contentTypeVersion="10" ma:contentTypeDescription="Crear nuevo documento." ma:contentTypeScope="" ma:versionID="6551b606d15fee4eae85ed89af80ad44">
  <xsd:schema xmlns:xsd="http://www.w3.org/2001/XMLSchema" xmlns:xs="http://www.w3.org/2001/XMLSchema" xmlns:p="http://schemas.microsoft.com/office/2006/metadata/properties" xmlns:ns2="63d54629-f305-40cb-8e79-0f56ad15dd69" xmlns:ns3="6e022b93-6538-4005-82c2-cb1f2f6e078c" targetNamespace="http://schemas.microsoft.com/office/2006/metadata/properties" ma:root="true" ma:fieldsID="55a39596f86b447a9640a88febef9bcb" ns2:_="" ns3:_="">
    <xsd:import namespace="63d54629-f305-40cb-8e79-0f56ad15dd69"/>
    <xsd:import namespace="6e022b93-6538-4005-82c2-cb1f2f6e0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4629-f305-40cb-8e79-0f56ad15d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22b93-6538-4005-82c2-cb1f2f6e07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532e86-706c-4c06-846c-b0204a65a8c2}" ma:internalName="TaxCatchAll" ma:showField="CatchAllData" ma:web="6e022b93-6538-4005-82c2-cb1f2f6e0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d54629-f305-40cb-8e79-0f56ad15dd69">
      <Terms xmlns="http://schemas.microsoft.com/office/infopath/2007/PartnerControls"/>
    </lcf76f155ced4ddcb4097134ff3c332f>
    <TaxCatchAll xmlns="6e022b93-6538-4005-82c2-cb1f2f6e07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C4EBB-2408-4877-82A2-505032562A65}"/>
</file>

<file path=customXml/itemProps2.xml><?xml version="1.0" encoding="utf-8"?>
<ds:datastoreItem xmlns:ds="http://schemas.openxmlformats.org/officeDocument/2006/customXml" ds:itemID="{8D11F43C-D42A-4EFD-B882-63255800E6A2}">
  <ds:schemaRefs>
    <ds:schemaRef ds:uri="http://schemas.microsoft.com/office/2006/metadata/properties"/>
    <ds:schemaRef ds:uri="http://schemas.microsoft.com/office/infopath/2007/PartnerControls"/>
    <ds:schemaRef ds:uri="63d54629-f305-40cb-8e79-0f56ad15dd69"/>
    <ds:schemaRef ds:uri="6e022b93-6538-4005-82c2-cb1f2f6e078c"/>
  </ds:schemaRefs>
</ds:datastoreItem>
</file>

<file path=customXml/itemProps3.xml><?xml version="1.0" encoding="utf-8"?>
<ds:datastoreItem xmlns:ds="http://schemas.openxmlformats.org/officeDocument/2006/customXml" ds:itemID="{0F2EA67A-6E7B-40F5-9979-973924F299CA}">
  <ds:schemaRefs>
    <ds:schemaRef ds:uri="http://schemas.microsoft.com/sharepoint/v3/contenttype/forms"/>
  </ds:schemaRefs>
</ds:datastoreItem>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128</TotalTime>
  <Pages>4</Pages>
  <Words>1300</Words>
  <Characters>7152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Gabarron</dc:creator>
  <cp:keywords/>
  <dc:description/>
  <cp:lastModifiedBy>Alfonso Gabarrón</cp:lastModifiedBy>
  <cp:revision>9</cp:revision>
  <dcterms:created xsi:type="dcterms:W3CDTF">2022-07-13T08:31:00Z</dcterms:created>
  <dcterms:modified xsi:type="dcterms:W3CDTF">2022-09-02T11:00:00Z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0x0101006EB3DCB81F5B14458566B8505737F509</vt:lpwstr>
  </property>
  <property fmtid="{D5CDD505-2E9C-101B-9397-08002B2CF9AE}" pid="3" name="MediaServiceImageTags">
    <vt:lpwstr/>
  </property>
</Properties>
</file>